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616F" w14:textId="77777777" w:rsidR="000C140A" w:rsidRDefault="000C140A">
      <w:pPr>
        <w:pStyle w:val="BodyText"/>
        <w:spacing w:before="4"/>
        <w:rPr>
          <w:sz w:val="17"/>
        </w:rPr>
      </w:pPr>
    </w:p>
    <w:p w14:paraId="01E6A3F6" w14:textId="77777777" w:rsidR="000C140A" w:rsidRDefault="007F1D74">
      <w:pPr>
        <w:spacing w:before="83"/>
        <w:ind w:left="1013"/>
        <w:rPr>
          <w:b/>
          <w:i/>
          <w:sz w:val="40"/>
        </w:rPr>
      </w:pPr>
      <w:r>
        <w:rPr>
          <w:b/>
          <w:i/>
          <w:sz w:val="40"/>
          <w:u w:val="thick"/>
        </w:rPr>
        <w:t>Return Good Authorization (RGA) Request Form</w:t>
      </w:r>
    </w:p>
    <w:p w14:paraId="082CD688" w14:textId="77777777" w:rsidR="000C140A" w:rsidRDefault="000C140A">
      <w:pPr>
        <w:pStyle w:val="BodyText"/>
        <w:rPr>
          <w:b/>
          <w:i/>
          <w:sz w:val="20"/>
        </w:rPr>
      </w:pPr>
    </w:p>
    <w:p w14:paraId="3B2EE1CC" w14:textId="77777777" w:rsidR="000C140A" w:rsidRDefault="000C140A">
      <w:pPr>
        <w:rPr>
          <w:sz w:val="20"/>
        </w:rPr>
        <w:sectPr w:rsidR="000C140A">
          <w:headerReference w:type="default" r:id="rId7"/>
          <w:footerReference w:type="default" r:id="rId8"/>
          <w:type w:val="continuous"/>
          <w:pgSz w:w="12240" w:h="15840"/>
          <w:pgMar w:top="1900" w:right="780" w:bottom="1240" w:left="1160" w:header="697" w:footer="1044" w:gutter="0"/>
          <w:cols w:space="720"/>
        </w:sectPr>
      </w:pPr>
    </w:p>
    <w:p w14:paraId="10991709" w14:textId="1E7E9367" w:rsidR="000C140A" w:rsidRDefault="007F1D74">
      <w:pPr>
        <w:pStyle w:val="Heading1"/>
        <w:tabs>
          <w:tab w:val="left" w:pos="4701"/>
        </w:tabs>
        <w:spacing w:line="369" w:lineRule="auto"/>
        <w:ind w:right="38"/>
        <w:jc w:val="both"/>
      </w:pPr>
      <w:r>
        <w:t>Original</w:t>
      </w:r>
      <w:r>
        <w:rPr>
          <w:spacing w:val="-2"/>
        </w:rPr>
        <w:t xml:space="preserve"> </w:t>
      </w:r>
      <w:r>
        <w:t>SO</w:t>
      </w:r>
      <w:r>
        <w:rPr>
          <w:spacing w:val="-2"/>
        </w:rPr>
        <w:t xml:space="preserve"> </w:t>
      </w:r>
      <w:r>
        <w:t>#</w:t>
      </w:r>
      <w:r w:rsidRPr="007F1D74">
        <w:rPr>
          <w:w w:val="99"/>
          <w:u w:val="single"/>
        </w:rPr>
        <w:t xml:space="preserve"> </w:t>
      </w:r>
      <w:r w:rsidRPr="007F1D74">
        <w:rPr>
          <w:u w:val="single"/>
        </w:rPr>
        <w:tab/>
      </w:r>
      <w:r w:rsidRPr="007F1D74">
        <w:rPr>
          <w:w w:val="25"/>
          <w:u w:val="single"/>
        </w:rPr>
        <w:t xml:space="preserve"> </w:t>
      </w:r>
      <w:r w:rsidRPr="007F1D74">
        <w:t xml:space="preserve"> </w:t>
      </w:r>
      <w:r>
        <w:t>Original</w:t>
      </w:r>
      <w:r>
        <w:rPr>
          <w:spacing w:val="-3"/>
        </w:rPr>
        <w:t xml:space="preserve"> </w:t>
      </w:r>
      <w:r>
        <w:t>PO</w:t>
      </w:r>
      <w:r>
        <w:rPr>
          <w:spacing w:val="-2"/>
        </w:rPr>
        <w:t xml:space="preserve"> </w:t>
      </w:r>
      <w:r>
        <w:t>#</w:t>
      </w:r>
      <w:r>
        <w:rPr>
          <w:w w:val="99"/>
          <w:u w:val="single"/>
        </w:rPr>
        <w:t xml:space="preserve"> </w:t>
      </w:r>
      <w:r>
        <w:rPr>
          <w:u w:val="single"/>
        </w:rPr>
        <w:tab/>
      </w:r>
      <w:r>
        <w:rPr>
          <w:w w:val="21"/>
          <w:u w:val="single"/>
        </w:rPr>
        <w:t xml:space="preserve"> </w:t>
      </w:r>
      <w:r>
        <w:t xml:space="preserve"> Rep</w:t>
      </w:r>
      <w:r>
        <w:rPr>
          <w:spacing w:val="-8"/>
        </w:rPr>
        <w:t xml:space="preserve"> </w:t>
      </w:r>
      <w:r>
        <w:t>Firm</w:t>
      </w:r>
      <w:r>
        <w:rPr>
          <w:spacing w:val="-2"/>
        </w:rPr>
        <w:t xml:space="preserve"> </w:t>
      </w:r>
      <w:r>
        <w:rPr>
          <w:w w:val="99"/>
          <w:u w:val="single"/>
        </w:rPr>
        <w:t xml:space="preserve"> </w:t>
      </w:r>
      <w:r>
        <w:rPr>
          <w:u w:val="single"/>
        </w:rPr>
        <w:tab/>
      </w:r>
    </w:p>
    <w:p w14:paraId="5C1566D8" w14:textId="77777777" w:rsidR="000C140A" w:rsidRDefault="007F1D74">
      <w:pPr>
        <w:tabs>
          <w:tab w:val="left" w:pos="4956"/>
        </w:tabs>
        <w:spacing w:before="236"/>
        <w:ind w:left="107"/>
        <w:rPr>
          <w:b/>
          <w:sz w:val="28"/>
        </w:rPr>
      </w:pPr>
      <w:r>
        <w:br w:type="column"/>
      </w:r>
      <w:r>
        <w:rPr>
          <w:b/>
          <w:sz w:val="28"/>
        </w:rPr>
        <w:t>Date of RGA</w:t>
      </w:r>
      <w:r>
        <w:rPr>
          <w:b/>
          <w:spacing w:val="-19"/>
          <w:sz w:val="28"/>
        </w:rPr>
        <w:t xml:space="preserve"> </w:t>
      </w:r>
      <w:r>
        <w:rPr>
          <w:b/>
          <w:sz w:val="28"/>
        </w:rPr>
        <w:t>Request</w:t>
      </w:r>
      <w:r>
        <w:rPr>
          <w:b/>
          <w:spacing w:val="1"/>
          <w:sz w:val="28"/>
        </w:rPr>
        <w:t xml:space="preserve"> </w:t>
      </w:r>
      <w:r>
        <w:rPr>
          <w:b/>
          <w:w w:val="99"/>
          <w:sz w:val="28"/>
          <w:u w:val="single"/>
        </w:rPr>
        <w:t xml:space="preserve"> </w:t>
      </w:r>
      <w:r>
        <w:rPr>
          <w:b/>
          <w:sz w:val="28"/>
          <w:u w:val="single"/>
        </w:rPr>
        <w:tab/>
      </w:r>
    </w:p>
    <w:p w14:paraId="3C175D9C" w14:textId="77777777" w:rsidR="000C140A" w:rsidRDefault="000C140A">
      <w:pPr>
        <w:pStyle w:val="BodyText"/>
        <w:rPr>
          <w:b/>
          <w:sz w:val="30"/>
        </w:rPr>
      </w:pPr>
    </w:p>
    <w:p w14:paraId="676F0E26" w14:textId="77777777" w:rsidR="000C140A" w:rsidRDefault="000C140A">
      <w:pPr>
        <w:pStyle w:val="BodyText"/>
        <w:spacing w:before="2"/>
        <w:rPr>
          <w:b/>
          <w:sz w:val="28"/>
        </w:rPr>
      </w:pPr>
    </w:p>
    <w:p w14:paraId="2A7EB7E6" w14:textId="33A6E6A3" w:rsidR="000C140A" w:rsidRDefault="007F1D74">
      <w:pPr>
        <w:tabs>
          <w:tab w:val="left" w:pos="4909"/>
        </w:tabs>
        <w:ind w:left="186"/>
        <w:rPr>
          <w:b/>
          <w:sz w:val="28"/>
        </w:rPr>
      </w:pPr>
      <w:r>
        <w:rPr>
          <w:b/>
          <w:sz w:val="28"/>
        </w:rPr>
        <w:t>Distributor</w:t>
      </w:r>
      <w:r>
        <w:rPr>
          <w:b/>
          <w:sz w:val="28"/>
          <w:u w:val="single"/>
        </w:rPr>
        <w:tab/>
      </w:r>
    </w:p>
    <w:p w14:paraId="5A61C234" w14:textId="77777777" w:rsidR="000C140A" w:rsidRDefault="000C140A">
      <w:pPr>
        <w:rPr>
          <w:sz w:val="28"/>
        </w:rPr>
        <w:sectPr w:rsidR="000C140A">
          <w:type w:val="continuous"/>
          <w:pgSz w:w="12240" w:h="15840"/>
          <w:pgMar w:top="1900" w:right="780" w:bottom="1240" w:left="1160" w:header="720" w:footer="720" w:gutter="0"/>
          <w:cols w:num="2" w:space="720" w:equalWidth="0">
            <w:col w:w="4775" w:space="186"/>
            <w:col w:w="5339"/>
          </w:cols>
        </w:sectPr>
      </w:pPr>
    </w:p>
    <w:p w14:paraId="736421F3" w14:textId="77777777" w:rsidR="000C140A" w:rsidRDefault="000C140A">
      <w:pPr>
        <w:pStyle w:val="BodyText"/>
        <w:spacing w:before="5" w:after="1"/>
        <w:rPr>
          <w:b/>
          <w:sz w:val="26"/>
        </w:rPr>
      </w:pPr>
    </w:p>
    <w:p w14:paraId="6377580B" w14:textId="77777777" w:rsidR="000C140A" w:rsidRDefault="00A3402D">
      <w:pPr>
        <w:tabs>
          <w:tab w:val="left" w:pos="6348"/>
        </w:tabs>
        <w:spacing w:line="20" w:lineRule="exact"/>
        <w:ind w:left="1361"/>
        <w:rPr>
          <w:sz w:val="2"/>
        </w:rPr>
      </w:pPr>
      <w:r>
        <w:rPr>
          <w:sz w:val="2"/>
        </w:rPr>
      </w:r>
      <w:r>
        <w:rPr>
          <w:sz w:val="2"/>
        </w:rPr>
        <w:pict w14:anchorId="245F1F98">
          <v:group id="_x0000_s1033" style="width:168.5pt;height:.6pt;mso-position-horizontal-relative:char;mso-position-vertical-relative:line" coordsize="3370,12">
            <v:line id="_x0000_s1034" style="position:absolute" from="0,6" to="3369,6" strokeweight=".19728mm"/>
            <w10:anchorlock/>
          </v:group>
        </w:pict>
      </w:r>
      <w:r w:rsidR="007F1D74">
        <w:rPr>
          <w:sz w:val="2"/>
        </w:rPr>
        <w:tab/>
      </w:r>
      <w:r>
        <w:rPr>
          <w:sz w:val="2"/>
        </w:rPr>
      </w:r>
      <w:r>
        <w:rPr>
          <w:sz w:val="2"/>
        </w:rPr>
        <w:pict w14:anchorId="2501041B">
          <v:group id="_x0000_s1031" style="width:175.5pt;height:.6pt;mso-position-horizontal-relative:char;mso-position-vertical-relative:line" coordsize="3510,12">
            <v:line id="_x0000_s1032" style="position:absolute" from="0,6" to="3510,6" strokeweight=".19728mm"/>
            <w10:anchorlock/>
          </v:group>
        </w:pict>
      </w:r>
    </w:p>
    <w:p w14:paraId="74798612" w14:textId="77777777" w:rsidR="000C140A" w:rsidRDefault="000C140A">
      <w:pPr>
        <w:pStyle w:val="BodyText"/>
        <w:spacing w:before="7"/>
        <w:rPr>
          <w:b/>
          <w:sz w:val="6"/>
        </w:rPr>
      </w:pPr>
    </w:p>
    <w:p w14:paraId="751945D7" w14:textId="77777777" w:rsidR="000C140A" w:rsidRDefault="007F1D74">
      <w:pPr>
        <w:tabs>
          <w:tab w:val="left" w:pos="4155"/>
          <w:tab w:val="left" w:pos="9836"/>
        </w:tabs>
        <w:spacing w:before="88"/>
        <w:ind w:left="107"/>
        <w:rPr>
          <w:sz w:val="28"/>
        </w:rPr>
      </w:pPr>
      <w:r>
        <w:rPr>
          <w:b/>
          <w:sz w:val="28"/>
        </w:rPr>
        <w:t>Product</w:t>
      </w:r>
      <w:r>
        <w:rPr>
          <w:b/>
          <w:spacing w:val="-3"/>
          <w:sz w:val="28"/>
        </w:rPr>
        <w:t xml:space="preserve"> </w:t>
      </w:r>
      <w:r>
        <w:rPr>
          <w:b/>
          <w:sz w:val="28"/>
        </w:rPr>
        <w:t>Model</w:t>
      </w:r>
      <w:r>
        <w:rPr>
          <w:sz w:val="28"/>
        </w:rPr>
        <w:t>:</w:t>
      </w:r>
      <w:r>
        <w:rPr>
          <w:sz w:val="28"/>
          <w:u w:val="single"/>
        </w:rPr>
        <w:t xml:space="preserve"> </w:t>
      </w:r>
      <w:r>
        <w:rPr>
          <w:sz w:val="28"/>
          <w:u w:val="single"/>
        </w:rPr>
        <w:tab/>
      </w:r>
      <w:r>
        <w:rPr>
          <w:b/>
          <w:sz w:val="28"/>
        </w:rPr>
        <w:t>Product Serial #</w:t>
      </w:r>
      <w:r>
        <w:rPr>
          <w:b/>
          <w:spacing w:val="-7"/>
          <w:sz w:val="28"/>
        </w:rPr>
        <w:t xml:space="preserve"> </w:t>
      </w:r>
      <w:r>
        <w:rPr>
          <w:sz w:val="28"/>
        </w:rPr>
        <w:t>(Mandatory</w:t>
      </w:r>
      <w:r>
        <w:rPr>
          <w:b/>
          <w:sz w:val="28"/>
        </w:rPr>
        <w:t>)</w:t>
      </w:r>
      <w:r>
        <w:rPr>
          <w:sz w:val="28"/>
        </w:rPr>
        <w:t xml:space="preserve">: </w:t>
      </w:r>
      <w:r>
        <w:rPr>
          <w:w w:val="99"/>
          <w:sz w:val="28"/>
          <w:u w:val="single"/>
        </w:rPr>
        <w:t xml:space="preserve"> </w:t>
      </w:r>
      <w:r>
        <w:rPr>
          <w:sz w:val="28"/>
          <w:u w:val="single"/>
        </w:rPr>
        <w:tab/>
      </w:r>
    </w:p>
    <w:p w14:paraId="6599391F" w14:textId="77777777" w:rsidR="000C140A" w:rsidRDefault="007F1D74">
      <w:pPr>
        <w:tabs>
          <w:tab w:val="left" w:pos="9916"/>
        </w:tabs>
        <w:spacing w:before="174"/>
        <w:ind w:left="107"/>
        <w:rPr>
          <w:sz w:val="28"/>
        </w:rPr>
      </w:pPr>
      <w:r>
        <w:rPr>
          <w:b/>
          <w:sz w:val="28"/>
        </w:rPr>
        <w:t xml:space="preserve">Reason for Return </w:t>
      </w:r>
      <w:r>
        <w:rPr>
          <w:sz w:val="28"/>
        </w:rPr>
        <w:t>(Please provide complete</w:t>
      </w:r>
      <w:r>
        <w:rPr>
          <w:spacing w:val="-15"/>
          <w:sz w:val="28"/>
        </w:rPr>
        <w:t xml:space="preserve"> </w:t>
      </w:r>
      <w:r>
        <w:rPr>
          <w:sz w:val="28"/>
        </w:rPr>
        <w:t xml:space="preserve">details): </w:t>
      </w:r>
      <w:r>
        <w:rPr>
          <w:w w:val="99"/>
          <w:sz w:val="28"/>
          <w:u w:val="single"/>
        </w:rPr>
        <w:t xml:space="preserve"> </w:t>
      </w:r>
      <w:r>
        <w:rPr>
          <w:sz w:val="28"/>
          <w:u w:val="single"/>
        </w:rPr>
        <w:tab/>
      </w:r>
    </w:p>
    <w:p w14:paraId="42314961" w14:textId="77777777" w:rsidR="000C140A" w:rsidRDefault="000C140A">
      <w:pPr>
        <w:pStyle w:val="BodyText"/>
        <w:rPr>
          <w:sz w:val="20"/>
        </w:rPr>
      </w:pPr>
    </w:p>
    <w:p w14:paraId="77D8F663" w14:textId="77777777" w:rsidR="000C140A" w:rsidRDefault="00A3402D">
      <w:pPr>
        <w:pStyle w:val="BodyText"/>
        <w:spacing w:before="2"/>
        <w:rPr>
          <w:sz w:val="18"/>
        </w:rPr>
      </w:pPr>
      <w:r>
        <w:pict w14:anchorId="33073EF9">
          <v:shape id="_x0000_s1030" style="position:absolute;margin-left:63.35pt;margin-top:12.75pt;width:498.4pt;height:.1pt;z-index:-251656192;mso-wrap-distance-left:0;mso-wrap-distance-right:0;mso-position-horizontal-relative:page" coordorigin="1267,255" coordsize="9968,0" path="m1267,255r9968,e" filled="f" strokeweight=".19728mm">
            <v:path arrowok="t"/>
            <w10:wrap type="topAndBottom" anchorx="page"/>
          </v:shape>
        </w:pict>
      </w:r>
    </w:p>
    <w:p w14:paraId="5971203C" w14:textId="77777777" w:rsidR="000C140A" w:rsidRDefault="000C140A">
      <w:pPr>
        <w:pStyle w:val="BodyText"/>
        <w:rPr>
          <w:sz w:val="20"/>
        </w:rPr>
      </w:pPr>
    </w:p>
    <w:p w14:paraId="63EE89C4" w14:textId="77777777" w:rsidR="000C140A" w:rsidRDefault="00A3402D">
      <w:pPr>
        <w:pStyle w:val="BodyText"/>
        <w:spacing w:before="7"/>
        <w:rPr>
          <w:sz w:val="15"/>
        </w:rPr>
      </w:pPr>
      <w:r>
        <w:pict w14:anchorId="3807B504">
          <v:shape id="_x0000_s1029" style="position:absolute;margin-left:63.35pt;margin-top:11.25pt;width:484.35pt;height:.1pt;z-index:-251655168;mso-wrap-distance-left:0;mso-wrap-distance-right:0;mso-position-horizontal-relative:page" coordorigin="1267,225" coordsize="9687,0" path="m1267,225r9687,e" filled="f" strokeweight=".19728mm">
            <v:path arrowok="t"/>
            <w10:wrap type="topAndBottom" anchorx="page"/>
          </v:shape>
        </w:pict>
      </w:r>
      <w:r>
        <w:pict w14:anchorId="1AB83D23">
          <v:shapetype id="_x0000_t202" coordsize="21600,21600" o:spt="202" path="m,l,21600r21600,l21600,xe">
            <v:stroke joinstyle="miter"/>
            <v:path gradientshapeok="t" o:connecttype="rect"/>
          </v:shapetype>
          <v:shape id="_x0000_s1028" type="#_x0000_t202" style="position:absolute;margin-left:93.15pt;margin-top:20.6pt;width:474.45pt;height:119.7pt;z-index:-251654144;mso-wrap-distance-left:0;mso-wrap-distance-right:0;mso-position-horizontal-relative:page" filled="f" strokeweight="1.5pt">
            <v:textbox inset="0,0,0,0">
              <w:txbxContent>
                <w:p w14:paraId="6CD386DD" w14:textId="77777777" w:rsidR="000C140A" w:rsidRDefault="007F1D74">
                  <w:pPr>
                    <w:spacing w:before="24"/>
                    <w:ind w:left="109"/>
                    <w:rPr>
                      <w:b/>
                    </w:rPr>
                  </w:pPr>
                  <w:r>
                    <w:rPr>
                      <w:b/>
                    </w:rPr>
                    <w:t>For internal use only:</w:t>
                  </w:r>
                </w:p>
                <w:p w14:paraId="09E9B8B6" w14:textId="77777777" w:rsidR="000C140A" w:rsidRDefault="007F1D74">
                  <w:pPr>
                    <w:tabs>
                      <w:tab w:val="left" w:pos="3426"/>
                    </w:tabs>
                    <w:spacing w:before="134"/>
                    <w:ind w:left="109"/>
                    <w:rPr>
                      <w:b/>
                    </w:rPr>
                  </w:pPr>
                  <w:r>
                    <w:rPr>
                      <w:b/>
                    </w:rPr>
                    <w:t>Axiom</w:t>
                  </w:r>
                  <w:r>
                    <w:rPr>
                      <w:b/>
                      <w:spacing w:val="-4"/>
                    </w:rPr>
                    <w:t xml:space="preserve"> </w:t>
                  </w:r>
                  <w:r>
                    <w:rPr>
                      <w:b/>
                    </w:rPr>
                    <w:t xml:space="preserve">RGA# </w:t>
                  </w:r>
                  <w:r>
                    <w:rPr>
                      <w:b/>
                      <w:w w:val="99"/>
                      <w:u w:val="single"/>
                    </w:rPr>
                    <w:t xml:space="preserve"> </w:t>
                  </w:r>
                  <w:r>
                    <w:rPr>
                      <w:b/>
                      <w:u w:val="single"/>
                    </w:rPr>
                    <w:tab/>
                  </w:r>
                </w:p>
                <w:p w14:paraId="665FCB4C" w14:textId="77777777" w:rsidR="000C140A" w:rsidRDefault="007F1D74">
                  <w:pPr>
                    <w:tabs>
                      <w:tab w:val="left" w:pos="1465"/>
                      <w:tab w:val="left" w:pos="8970"/>
                    </w:tabs>
                    <w:spacing w:before="135"/>
                    <w:ind w:left="109"/>
                    <w:rPr>
                      <w:b/>
                    </w:rPr>
                  </w:pPr>
                  <w:r>
                    <w:rPr>
                      <w:b/>
                    </w:rPr>
                    <w:t>Instructions</w:t>
                  </w:r>
                  <w:r>
                    <w:rPr>
                      <w:b/>
                    </w:rPr>
                    <w:tab/>
                  </w:r>
                  <w:r>
                    <w:rPr>
                      <w:b/>
                      <w:w w:val="99"/>
                      <w:u w:val="single"/>
                    </w:rPr>
                    <w:t xml:space="preserve"> </w:t>
                  </w:r>
                  <w:r>
                    <w:rPr>
                      <w:b/>
                      <w:u w:val="single"/>
                    </w:rPr>
                    <w:tab/>
                  </w:r>
                </w:p>
                <w:p w14:paraId="040710C2" w14:textId="77777777" w:rsidR="000C140A" w:rsidRDefault="000C140A">
                  <w:pPr>
                    <w:pStyle w:val="BodyText"/>
                    <w:rPr>
                      <w:b/>
                    </w:rPr>
                  </w:pPr>
                </w:p>
                <w:p w14:paraId="1E1A9667" w14:textId="77777777" w:rsidR="000C140A" w:rsidRDefault="000C140A">
                  <w:pPr>
                    <w:pStyle w:val="BodyText"/>
                    <w:rPr>
                      <w:b/>
                    </w:rPr>
                  </w:pPr>
                </w:p>
                <w:p w14:paraId="7D08C288" w14:textId="77777777" w:rsidR="000C140A" w:rsidRDefault="000C140A">
                  <w:pPr>
                    <w:pStyle w:val="BodyText"/>
                    <w:spacing w:before="1"/>
                    <w:rPr>
                      <w:b/>
                      <w:sz w:val="31"/>
                    </w:rPr>
                  </w:pPr>
                </w:p>
                <w:p w14:paraId="541BE8CC" w14:textId="77777777" w:rsidR="000C140A" w:rsidRDefault="007F1D74">
                  <w:pPr>
                    <w:ind w:left="109"/>
                    <w:rPr>
                      <w:b/>
                    </w:rPr>
                  </w:pPr>
                  <w:r>
                    <w:rPr>
                      <w:b/>
                    </w:rPr>
                    <w:t>*Axiom RGA number valid for 6 months from date of issue</w:t>
                  </w:r>
                </w:p>
              </w:txbxContent>
            </v:textbox>
            <w10:wrap type="topAndBottom" anchorx="page"/>
          </v:shape>
        </w:pict>
      </w:r>
    </w:p>
    <w:p w14:paraId="51281A97" w14:textId="77777777" w:rsidR="000C140A" w:rsidRDefault="000C140A">
      <w:pPr>
        <w:pStyle w:val="BodyText"/>
        <w:spacing w:before="6"/>
        <w:rPr>
          <w:sz w:val="8"/>
        </w:rPr>
      </w:pPr>
    </w:p>
    <w:p w14:paraId="0A90EC66" w14:textId="77777777" w:rsidR="000C140A" w:rsidRDefault="000C140A">
      <w:pPr>
        <w:pStyle w:val="BodyText"/>
        <w:spacing w:before="4"/>
        <w:rPr>
          <w:sz w:val="14"/>
        </w:rPr>
      </w:pPr>
    </w:p>
    <w:p w14:paraId="74C9BADA" w14:textId="77777777" w:rsidR="000C140A" w:rsidRDefault="00A3402D">
      <w:pPr>
        <w:pStyle w:val="Heading2"/>
        <w:rPr>
          <w:u w:val="none"/>
        </w:rPr>
      </w:pPr>
      <w:r>
        <w:pict w14:anchorId="290E23A9">
          <v:line id="_x0000_s1027" style="position:absolute;left:0;text-align:left;z-index:251663360;mso-position-horizontal-relative:page" from="99.35pt,-57.8pt" to="540.95pt,-57.8pt" strokeweight=".24403mm">
            <w10:wrap anchorx="page"/>
          </v:line>
        </w:pict>
      </w:r>
      <w:r>
        <w:pict w14:anchorId="1E7AC9DC">
          <v:line id="_x0000_s1026" style="position:absolute;left:0;text-align:left;z-index:251664384;mso-position-horizontal-relative:page" from="99.35pt,-38.45pt" to="540.95pt,-38.45pt" strokeweight=".24403mm">
            <w10:wrap anchorx="page"/>
          </v:line>
        </w:pict>
      </w:r>
      <w:r w:rsidR="007F1D74">
        <w:rPr>
          <w:u w:val="thick"/>
        </w:rPr>
        <w:t>Requirements for Return Goods:</w:t>
      </w:r>
    </w:p>
    <w:p w14:paraId="7A122711" w14:textId="77777777" w:rsidR="000C140A" w:rsidRDefault="000C140A">
      <w:pPr>
        <w:pStyle w:val="BodyText"/>
        <w:spacing w:before="8"/>
        <w:rPr>
          <w:b/>
          <w:sz w:val="16"/>
        </w:rPr>
      </w:pPr>
    </w:p>
    <w:p w14:paraId="2571AA58" w14:textId="77777777" w:rsidR="000C140A" w:rsidRDefault="007F1D74">
      <w:pPr>
        <w:pStyle w:val="ListParagraph"/>
        <w:numPr>
          <w:ilvl w:val="0"/>
          <w:numId w:val="1"/>
        </w:numPr>
        <w:tabs>
          <w:tab w:val="left" w:pos="468"/>
        </w:tabs>
        <w:spacing w:before="90" w:line="242" w:lineRule="auto"/>
        <w:ind w:right="990"/>
        <w:rPr>
          <w:sz w:val="24"/>
        </w:rPr>
      </w:pPr>
      <w:r>
        <w:rPr>
          <w:sz w:val="24"/>
        </w:rPr>
        <w:t>Fill in form completely with required information. Make sure that “Reason for Return” is as detailed as possible. RGA number will not be issued if information is</w:t>
      </w:r>
      <w:r>
        <w:rPr>
          <w:spacing w:val="-5"/>
          <w:sz w:val="24"/>
        </w:rPr>
        <w:t xml:space="preserve"> </w:t>
      </w:r>
      <w:r>
        <w:rPr>
          <w:sz w:val="24"/>
        </w:rPr>
        <w:t>incomplete.</w:t>
      </w:r>
    </w:p>
    <w:p w14:paraId="14A0AC7E" w14:textId="77777777" w:rsidR="000C140A" w:rsidRDefault="007F1D74">
      <w:pPr>
        <w:pStyle w:val="ListParagraph"/>
        <w:numPr>
          <w:ilvl w:val="0"/>
          <w:numId w:val="1"/>
        </w:numPr>
        <w:tabs>
          <w:tab w:val="left" w:pos="468"/>
        </w:tabs>
        <w:ind w:hanging="361"/>
        <w:rPr>
          <w:sz w:val="24"/>
        </w:rPr>
      </w:pPr>
      <w:r>
        <w:rPr>
          <w:sz w:val="24"/>
        </w:rPr>
        <w:t>Fax the completed form to the below fax number to obtain an</w:t>
      </w:r>
      <w:r>
        <w:rPr>
          <w:spacing w:val="-3"/>
          <w:sz w:val="24"/>
        </w:rPr>
        <w:t xml:space="preserve"> </w:t>
      </w:r>
      <w:r>
        <w:rPr>
          <w:sz w:val="24"/>
        </w:rPr>
        <w:t>RGA#.</w:t>
      </w:r>
    </w:p>
    <w:p w14:paraId="73060BED" w14:textId="77777777" w:rsidR="000C140A" w:rsidRDefault="007F1D74">
      <w:pPr>
        <w:pStyle w:val="ListParagraph"/>
        <w:numPr>
          <w:ilvl w:val="0"/>
          <w:numId w:val="1"/>
        </w:numPr>
        <w:tabs>
          <w:tab w:val="left" w:pos="468"/>
        </w:tabs>
        <w:spacing w:before="7"/>
        <w:ind w:hanging="361"/>
        <w:rPr>
          <w:sz w:val="24"/>
        </w:rPr>
      </w:pPr>
      <w:r>
        <w:rPr>
          <w:b/>
          <w:sz w:val="24"/>
        </w:rPr>
        <w:t>Customer is responsible for FREIGHT</w:t>
      </w:r>
      <w:r>
        <w:rPr>
          <w:sz w:val="24"/>
        </w:rPr>
        <w:t>, unless otherwise</w:t>
      </w:r>
      <w:r>
        <w:rPr>
          <w:spacing w:val="-1"/>
          <w:sz w:val="24"/>
        </w:rPr>
        <w:t xml:space="preserve"> </w:t>
      </w:r>
      <w:r>
        <w:rPr>
          <w:sz w:val="24"/>
        </w:rPr>
        <w:t>specified.</w:t>
      </w:r>
    </w:p>
    <w:p w14:paraId="4A047F1B" w14:textId="77777777" w:rsidR="000C140A" w:rsidRDefault="007F1D74">
      <w:pPr>
        <w:pStyle w:val="ListParagraph"/>
        <w:numPr>
          <w:ilvl w:val="0"/>
          <w:numId w:val="1"/>
        </w:numPr>
        <w:tabs>
          <w:tab w:val="left" w:pos="468"/>
        </w:tabs>
        <w:spacing w:before="4"/>
        <w:ind w:hanging="361"/>
        <w:rPr>
          <w:sz w:val="24"/>
        </w:rPr>
      </w:pPr>
      <w:r>
        <w:rPr>
          <w:sz w:val="24"/>
        </w:rPr>
        <w:t>RGA number must be clearly marked on ALL packages</w:t>
      </w:r>
      <w:r>
        <w:rPr>
          <w:spacing w:val="-1"/>
          <w:sz w:val="24"/>
        </w:rPr>
        <w:t xml:space="preserve"> </w:t>
      </w:r>
      <w:r>
        <w:rPr>
          <w:sz w:val="24"/>
        </w:rPr>
        <w:t>returned.</w:t>
      </w:r>
    </w:p>
    <w:p w14:paraId="298CF9F7" w14:textId="77777777" w:rsidR="000C140A" w:rsidRDefault="007F1D74">
      <w:pPr>
        <w:pStyle w:val="ListParagraph"/>
        <w:numPr>
          <w:ilvl w:val="0"/>
          <w:numId w:val="1"/>
        </w:numPr>
        <w:tabs>
          <w:tab w:val="left" w:pos="468"/>
        </w:tabs>
        <w:spacing w:before="4"/>
        <w:ind w:hanging="361"/>
        <w:rPr>
          <w:sz w:val="24"/>
        </w:rPr>
      </w:pPr>
      <w:r>
        <w:rPr>
          <w:sz w:val="24"/>
        </w:rPr>
        <w:t>Returned products must be complete as sold and not missing any parts or</w:t>
      </w:r>
      <w:r>
        <w:rPr>
          <w:spacing w:val="-3"/>
          <w:sz w:val="24"/>
        </w:rPr>
        <w:t xml:space="preserve"> </w:t>
      </w:r>
      <w:r>
        <w:rPr>
          <w:sz w:val="24"/>
        </w:rPr>
        <w:t>accessories.</w:t>
      </w:r>
    </w:p>
    <w:p w14:paraId="205E3354" w14:textId="77777777" w:rsidR="000C140A" w:rsidRDefault="007F1D74">
      <w:pPr>
        <w:pStyle w:val="ListParagraph"/>
        <w:numPr>
          <w:ilvl w:val="0"/>
          <w:numId w:val="1"/>
        </w:numPr>
        <w:tabs>
          <w:tab w:val="left" w:pos="468"/>
        </w:tabs>
        <w:spacing w:before="3" w:line="242" w:lineRule="auto"/>
        <w:ind w:right="537"/>
        <w:rPr>
          <w:sz w:val="24"/>
        </w:rPr>
      </w:pPr>
      <w:r>
        <w:rPr>
          <w:sz w:val="24"/>
        </w:rPr>
        <w:t>Returned products will be inspected and/or tested to confirm that they are either defective within the terms of the warranty or suitable for</w:t>
      </w:r>
      <w:r>
        <w:rPr>
          <w:spacing w:val="-1"/>
          <w:sz w:val="24"/>
        </w:rPr>
        <w:t xml:space="preserve"> </w:t>
      </w:r>
      <w:r>
        <w:rPr>
          <w:sz w:val="24"/>
        </w:rPr>
        <w:t>restocking.</w:t>
      </w:r>
    </w:p>
    <w:p w14:paraId="58E3D2A3" w14:textId="77777777" w:rsidR="000C140A" w:rsidRDefault="007F1D74">
      <w:pPr>
        <w:pStyle w:val="ListParagraph"/>
        <w:numPr>
          <w:ilvl w:val="0"/>
          <w:numId w:val="1"/>
        </w:numPr>
        <w:tabs>
          <w:tab w:val="left" w:pos="468"/>
        </w:tabs>
        <w:spacing w:line="242" w:lineRule="auto"/>
        <w:ind w:right="275"/>
        <w:rPr>
          <w:sz w:val="24"/>
        </w:rPr>
      </w:pPr>
      <w:r>
        <w:rPr>
          <w:sz w:val="24"/>
        </w:rPr>
        <w:t xml:space="preserve">Axiom Industries will charge a $100 service fee for items returned under warranty that are found to be </w:t>
      </w:r>
      <w:r>
        <w:rPr>
          <w:sz w:val="24"/>
          <w:u w:val="single"/>
        </w:rPr>
        <w:t>not</w:t>
      </w:r>
      <w:r>
        <w:rPr>
          <w:sz w:val="24"/>
        </w:rPr>
        <w:t xml:space="preserve"> defective. A copy of the test and inspection report is available upon</w:t>
      </w:r>
      <w:r>
        <w:rPr>
          <w:spacing w:val="-1"/>
          <w:sz w:val="24"/>
        </w:rPr>
        <w:t xml:space="preserve"> </w:t>
      </w:r>
      <w:r>
        <w:rPr>
          <w:sz w:val="24"/>
        </w:rPr>
        <w:t>request.</w:t>
      </w:r>
    </w:p>
    <w:p w14:paraId="3714AF1A" w14:textId="77777777" w:rsidR="000C140A" w:rsidRDefault="007F1D74">
      <w:pPr>
        <w:pStyle w:val="ListParagraph"/>
        <w:numPr>
          <w:ilvl w:val="0"/>
          <w:numId w:val="1"/>
        </w:numPr>
        <w:tabs>
          <w:tab w:val="left" w:pos="468"/>
        </w:tabs>
        <w:ind w:hanging="361"/>
        <w:rPr>
          <w:sz w:val="24"/>
        </w:rPr>
      </w:pPr>
      <w:r>
        <w:rPr>
          <w:sz w:val="24"/>
        </w:rPr>
        <w:t>Defective products will be repaired or replaced at the discretion of Axiom Industries</w:t>
      </w:r>
      <w:r>
        <w:rPr>
          <w:spacing w:val="-3"/>
          <w:sz w:val="24"/>
        </w:rPr>
        <w:t xml:space="preserve"> </w:t>
      </w:r>
      <w:r>
        <w:rPr>
          <w:sz w:val="24"/>
        </w:rPr>
        <w:t>Ltd.</w:t>
      </w:r>
    </w:p>
    <w:p w14:paraId="2F8E43E6" w14:textId="77777777" w:rsidR="000C140A" w:rsidRDefault="007F1D74">
      <w:pPr>
        <w:pStyle w:val="ListParagraph"/>
        <w:numPr>
          <w:ilvl w:val="0"/>
          <w:numId w:val="1"/>
        </w:numPr>
        <w:tabs>
          <w:tab w:val="left" w:pos="468"/>
        </w:tabs>
        <w:spacing w:before="3" w:line="242" w:lineRule="auto"/>
        <w:ind w:right="498"/>
        <w:rPr>
          <w:sz w:val="24"/>
        </w:rPr>
      </w:pPr>
      <w:r>
        <w:rPr>
          <w:sz w:val="24"/>
        </w:rPr>
        <w:t>Credit will be issued for eligible items returned for restocking. Credit amount will be the original purchase price less a 25% restocking charge.</w:t>
      </w:r>
    </w:p>
    <w:p w14:paraId="7FCFA505" w14:textId="77777777" w:rsidR="000C140A" w:rsidRDefault="000C140A">
      <w:pPr>
        <w:spacing w:line="242" w:lineRule="auto"/>
        <w:rPr>
          <w:sz w:val="24"/>
        </w:rPr>
        <w:sectPr w:rsidR="000C140A">
          <w:type w:val="continuous"/>
          <w:pgSz w:w="12240" w:h="15840"/>
          <w:pgMar w:top="1900" w:right="780" w:bottom="1240" w:left="1160" w:header="720" w:footer="720" w:gutter="0"/>
          <w:cols w:space="720"/>
        </w:sectPr>
      </w:pPr>
    </w:p>
    <w:p w14:paraId="5BFAA22E" w14:textId="77777777" w:rsidR="000C140A" w:rsidRDefault="000C140A">
      <w:pPr>
        <w:pStyle w:val="BodyText"/>
        <w:rPr>
          <w:sz w:val="20"/>
        </w:rPr>
      </w:pPr>
    </w:p>
    <w:p w14:paraId="392CB82C" w14:textId="77777777" w:rsidR="000C140A" w:rsidRDefault="000C140A">
      <w:pPr>
        <w:pStyle w:val="BodyText"/>
        <w:spacing w:before="6"/>
        <w:rPr>
          <w:sz w:val="21"/>
        </w:rPr>
      </w:pPr>
    </w:p>
    <w:p w14:paraId="03A23453" w14:textId="77777777" w:rsidR="000C140A" w:rsidRDefault="007F1D74">
      <w:pPr>
        <w:pStyle w:val="Heading2"/>
        <w:rPr>
          <w:u w:val="none"/>
        </w:rPr>
      </w:pPr>
      <w:r>
        <w:rPr>
          <w:u w:val="thick"/>
        </w:rPr>
        <w:t>Warranty Statement</w:t>
      </w:r>
    </w:p>
    <w:p w14:paraId="00BDFA72" w14:textId="77777777" w:rsidR="000C140A" w:rsidRDefault="000C140A">
      <w:pPr>
        <w:pStyle w:val="BodyText"/>
        <w:spacing w:before="7"/>
        <w:rPr>
          <w:b/>
          <w:sz w:val="16"/>
        </w:rPr>
      </w:pPr>
    </w:p>
    <w:p w14:paraId="133D93ED" w14:textId="77777777" w:rsidR="000C140A" w:rsidRDefault="007F1D74">
      <w:pPr>
        <w:pStyle w:val="BodyText"/>
        <w:spacing w:before="90" w:line="242" w:lineRule="auto"/>
        <w:ind w:left="107" w:right="230"/>
      </w:pPr>
      <w:r>
        <w:t>AXIOM Solution Feeders are warranted to be free of defects in material and workmanship under normal use, for a period of one (1) year from the date of manufacture, or one (1) year of use, with proof of purchase. This limited warranty will not exceed two (2) years, in any event.</w:t>
      </w:r>
    </w:p>
    <w:p w14:paraId="3C609A87" w14:textId="77777777" w:rsidR="000C140A" w:rsidRDefault="000C140A">
      <w:pPr>
        <w:pStyle w:val="BodyText"/>
        <w:spacing w:before="6"/>
      </w:pPr>
    </w:p>
    <w:p w14:paraId="6115118F" w14:textId="77777777" w:rsidR="000C140A" w:rsidRDefault="007F1D74">
      <w:pPr>
        <w:pStyle w:val="BodyText"/>
        <w:spacing w:line="242" w:lineRule="auto"/>
        <w:ind w:left="107" w:right="655"/>
      </w:pPr>
      <w:r>
        <w:t>The limited warranty will not apply to pumps that were improperly installed, misapplied, or incompatible with fluids or components not manufactured by AXIOM. Pump failure due to foreign debris is not covered under the terms of this limited warranty. AXIOM will not warrant any pump, which is damaged or modified outside the AXIOM factory.</w:t>
      </w:r>
    </w:p>
    <w:p w14:paraId="004F7B50" w14:textId="77777777" w:rsidR="000C140A" w:rsidRDefault="007F1D74">
      <w:pPr>
        <w:pStyle w:val="BodyText"/>
        <w:spacing w:before="4" w:line="242" w:lineRule="auto"/>
        <w:ind w:left="107" w:right="301"/>
      </w:pPr>
      <w:r>
        <w:t xml:space="preserve">Returns are to be shipped postage prepaid to AXIOM Industries. AXIOM shall not be liable for freight damage incurred during </w:t>
      </w:r>
      <w:proofErr w:type="gramStart"/>
      <w:r>
        <w:t>shipping,</w:t>
      </w:r>
      <w:proofErr w:type="gramEnd"/>
      <w:r>
        <w:t xml:space="preserve"> package returns carefully.</w:t>
      </w:r>
    </w:p>
    <w:p w14:paraId="043A4FCF" w14:textId="77777777" w:rsidR="000C140A" w:rsidRDefault="000C140A">
      <w:pPr>
        <w:pStyle w:val="BodyText"/>
        <w:spacing w:before="5"/>
      </w:pPr>
    </w:p>
    <w:p w14:paraId="4C145DF7" w14:textId="77777777" w:rsidR="000C140A" w:rsidRDefault="007F1D74">
      <w:pPr>
        <w:pStyle w:val="BodyText"/>
        <w:spacing w:line="242" w:lineRule="auto"/>
        <w:ind w:left="107" w:right="296"/>
      </w:pPr>
      <w:r>
        <w:t>AXIOM’s obligation under this warranty policy is limited to the repair or replacement of the pump/product. All returns will be tested per AXIOM factory criteria. Products found not defective (under the terms of this limited warranty) are subject to charges paid by the returnee for the testing and packaging of “tested good” non-warranty returns.</w:t>
      </w:r>
    </w:p>
    <w:p w14:paraId="4465A38F" w14:textId="77777777" w:rsidR="000C140A" w:rsidRDefault="000C140A">
      <w:pPr>
        <w:pStyle w:val="BodyText"/>
        <w:spacing w:before="7"/>
      </w:pPr>
    </w:p>
    <w:p w14:paraId="0A407BF2" w14:textId="77777777" w:rsidR="000C140A" w:rsidRDefault="007F1D74">
      <w:pPr>
        <w:pStyle w:val="BodyText"/>
        <w:spacing w:line="242" w:lineRule="auto"/>
        <w:ind w:left="107" w:right="749"/>
      </w:pPr>
      <w:r>
        <w:t>No credit or labor allowances will be given for pumps or products returned as defective. Warranty replacements will be shipped on a freight allowed basis. AXIOM reserves the right to choose the method of transportation.</w:t>
      </w:r>
    </w:p>
    <w:p w14:paraId="66DFA1F8" w14:textId="77777777" w:rsidR="000C140A" w:rsidRDefault="000C140A">
      <w:pPr>
        <w:pStyle w:val="BodyText"/>
        <w:spacing w:before="6"/>
      </w:pPr>
    </w:p>
    <w:p w14:paraId="2C5583A2" w14:textId="77777777" w:rsidR="000C140A" w:rsidRDefault="007F1D74">
      <w:pPr>
        <w:pStyle w:val="BodyText"/>
        <w:spacing w:line="242" w:lineRule="auto"/>
        <w:ind w:left="107" w:right="356"/>
      </w:pPr>
      <w:r>
        <w:t>This limited warranty is in lieu of all other warranties, expressed or implied, and no other person is authorized to give any other warranty or assume obligation or liability on AXIOM’s behalf. AXIOM shall not be liable for any labor, damage or other expense, nor shall AXIOM be liable for any indirect, incidental or consequential damages of any kind incurred by the reason of the use of sale of any defective product or part. This limited warranty covers products distributed within Canada and the USA. Other world market areas should consult with the distributor for any deviation from this document.</w:t>
      </w:r>
    </w:p>
    <w:sectPr w:rsidR="000C140A">
      <w:pgSz w:w="12240" w:h="15840"/>
      <w:pgMar w:top="1900" w:right="780" w:bottom="1240" w:left="1160" w:header="697"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50BD" w14:textId="77777777" w:rsidR="00A3402D" w:rsidRDefault="00A3402D">
      <w:r>
        <w:separator/>
      </w:r>
    </w:p>
  </w:endnote>
  <w:endnote w:type="continuationSeparator" w:id="0">
    <w:p w14:paraId="7288B283" w14:textId="77777777" w:rsidR="00A3402D" w:rsidRDefault="00A3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B458" w14:textId="77777777" w:rsidR="000C140A" w:rsidRDefault="00A3402D">
    <w:pPr>
      <w:pStyle w:val="BodyText"/>
      <w:spacing w:line="14" w:lineRule="auto"/>
      <w:rPr>
        <w:sz w:val="20"/>
      </w:rPr>
    </w:pPr>
    <w:r>
      <w:pict w14:anchorId="5444C201">
        <v:shapetype id="_x0000_t202" coordsize="21600,21600" o:spt="202" path="m,l,21600r21600,l21600,xe">
          <v:stroke joinstyle="miter"/>
          <v:path gradientshapeok="t" o:connecttype="rect"/>
        </v:shapetype>
        <v:shape id="_x0000_s2049" type="#_x0000_t202" style="position:absolute;margin-left:128.7pt;margin-top:728.8pt;width:368.15pt;height:24.8pt;z-index:-251772928;mso-position-horizontal-relative:page;mso-position-vertical-relative:page" filled="f" stroked="f">
          <v:textbox inset="0,0,0,0">
            <w:txbxContent>
              <w:p w14:paraId="5D63AB54" w14:textId="77777777" w:rsidR="000C140A" w:rsidRDefault="007F1D74">
                <w:pPr>
                  <w:tabs>
                    <w:tab w:val="left" w:pos="3878"/>
                    <w:tab w:val="left" w:pos="5656"/>
                  </w:tabs>
                  <w:spacing w:before="12"/>
                  <w:jc w:val="center"/>
                  <w:rPr>
                    <w:sz w:val="20"/>
                  </w:rPr>
                </w:pPr>
                <w:r>
                  <w:rPr>
                    <w:sz w:val="20"/>
                  </w:rPr>
                  <w:t>2615 Wentz Avenue, Saskatoon, SK</w:t>
                </w:r>
                <w:r>
                  <w:rPr>
                    <w:spacing w:val="2"/>
                    <w:sz w:val="20"/>
                  </w:rPr>
                  <w:t xml:space="preserve"> </w:t>
                </w:r>
                <w:r>
                  <w:rPr>
                    <w:sz w:val="20"/>
                  </w:rPr>
                  <w:t>S7K</w:t>
                </w:r>
                <w:r>
                  <w:rPr>
                    <w:spacing w:val="1"/>
                    <w:sz w:val="20"/>
                  </w:rPr>
                  <w:t xml:space="preserve"> </w:t>
                </w:r>
                <w:r>
                  <w:rPr>
                    <w:sz w:val="20"/>
                  </w:rPr>
                  <w:t>5J1</w:t>
                </w:r>
                <w:r>
                  <w:rPr>
                    <w:sz w:val="20"/>
                  </w:rPr>
                  <w:tab/>
                  <w:t>Ph:</w:t>
                </w:r>
                <w:r>
                  <w:rPr>
                    <w:spacing w:val="-1"/>
                    <w:sz w:val="20"/>
                  </w:rPr>
                  <w:t xml:space="preserve"> </w:t>
                </w:r>
                <w:r>
                  <w:rPr>
                    <w:sz w:val="20"/>
                  </w:rPr>
                  <w:t>(306)</w:t>
                </w:r>
                <w:r>
                  <w:rPr>
                    <w:spacing w:val="1"/>
                    <w:sz w:val="20"/>
                  </w:rPr>
                  <w:t xml:space="preserve"> </w:t>
                </w:r>
                <w:r>
                  <w:rPr>
                    <w:sz w:val="20"/>
                  </w:rPr>
                  <w:t>651-1815</w:t>
                </w:r>
                <w:r>
                  <w:rPr>
                    <w:sz w:val="20"/>
                  </w:rPr>
                  <w:tab/>
                  <w:t>Fax: (306)</w:t>
                </w:r>
                <w:r>
                  <w:rPr>
                    <w:spacing w:val="2"/>
                    <w:sz w:val="20"/>
                  </w:rPr>
                  <w:t xml:space="preserve"> </w:t>
                </w:r>
                <w:r>
                  <w:rPr>
                    <w:sz w:val="20"/>
                  </w:rPr>
                  <w:t>651-2293</w:t>
                </w:r>
              </w:p>
              <w:p w14:paraId="53B098A5" w14:textId="77777777" w:rsidR="000C140A" w:rsidRDefault="007F1D74">
                <w:pPr>
                  <w:spacing w:before="4"/>
                  <w:ind w:left="3"/>
                  <w:jc w:val="center"/>
                  <w:rPr>
                    <w:sz w:val="20"/>
                  </w:rPr>
                </w:pPr>
                <w:r>
                  <w:rPr>
                    <w:sz w:val="20"/>
                  </w:rPr>
                  <w:t xml:space="preserve">email: </w:t>
                </w:r>
                <w:hyperlink r:id="rId1">
                  <w:r>
                    <w:rPr>
                      <w:color w:val="0000FF"/>
                      <w:sz w:val="20"/>
                      <w:u w:val="single" w:color="0000FF"/>
                    </w:rPr>
                    <w:t>sales@axiomind.com</w:t>
                  </w:r>
                </w:hyperlink>
                <w:r>
                  <w:rPr>
                    <w:color w:val="0000FF"/>
                    <w:sz w:val="20"/>
                  </w:rPr>
                  <w:t xml:space="preserve"> </w:t>
                </w:r>
                <w:r>
                  <w:rPr>
                    <w:sz w:val="20"/>
                  </w:rPr>
                  <w:t xml:space="preserve">website: </w:t>
                </w:r>
                <w:hyperlink r:id="rId2">
                  <w:r>
                    <w:rPr>
                      <w:sz w:val="20"/>
                    </w:rPr>
                    <w:t>www.axiomind.com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B645E" w14:textId="77777777" w:rsidR="00A3402D" w:rsidRDefault="00A3402D">
      <w:r>
        <w:separator/>
      </w:r>
    </w:p>
  </w:footnote>
  <w:footnote w:type="continuationSeparator" w:id="0">
    <w:p w14:paraId="6B9015A1" w14:textId="77777777" w:rsidR="00A3402D" w:rsidRDefault="00A3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3EA2" w14:textId="77777777" w:rsidR="000C140A" w:rsidRDefault="007F1D74">
    <w:pPr>
      <w:pStyle w:val="BodyText"/>
      <w:spacing w:line="14" w:lineRule="auto"/>
      <w:rPr>
        <w:sz w:val="20"/>
      </w:rPr>
    </w:pPr>
    <w:r>
      <w:rPr>
        <w:noProof/>
      </w:rPr>
      <w:drawing>
        <wp:anchor distT="0" distB="0" distL="0" distR="0" simplePos="0" relativeHeight="251541504" behindDoc="1" locked="0" layoutInCell="1" allowOverlap="1" wp14:anchorId="2494CABE" wp14:editId="7B32A14E">
          <wp:simplePos x="0" y="0"/>
          <wp:positionH relativeFrom="page">
            <wp:posOffset>997055</wp:posOffset>
          </wp:positionH>
          <wp:positionV relativeFrom="page">
            <wp:posOffset>442566</wp:posOffset>
          </wp:positionV>
          <wp:extent cx="1901065" cy="773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1065" cy="773585"/>
                  </a:xfrm>
                  <a:prstGeom prst="rect">
                    <a:avLst/>
                  </a:prstGeom>
                </pic:spPr>
              </pic:pic>
            </a:graphicData>
          </a:graphic>
        </wp:anchor>
      </w:drawing>
    </w:r>
    <w:r w:rsidR="00A3402D">
      <w:pict w14:anchorId="606315B6">
        <v:shapetype id="_x0000_t202" coordsize="21600,21600" o:spt="202" path="m,l,21600r21600,l21600,xe">
          <v:stroke joinstyle="miter"/>
          <v:path gradientshapeok="t" o:connecttype="rect"/>
        </v:shapetype>
        <v:shape id="_x0000_s2050" type="#_x0000_t202" style="position:absolute;margin-left:255.2pt;margin-top:52.75pt;width:174.15pt;height:20.15pt;z-index:-251773952;mso-position-horizontal-relative:page;mso-position-vertical-relative:page" filled="f" stroked="f">
          <v:textbox inset="0,0,0,0">
            <w:txbxContent>
              <w:p w14:paraId="429BF33A" w14:textId="77777777" w:rsidR="000C140A" w:rsidRDefault="007F1D74">
                <w:pPr>
                  <w:spacing w:before="12"/>
                  <w:ind w:left="20"/>
                  <w:rPr>
                    <w:b/>
                    <w:i/>
                    <w:sz w:val="32"/>
                  </w:rPr>
                </w:pPr>
                <w:r>
                  <w:rPr>
                    <w:b/>
                    <w:i/>
                    <w:sz w:val="32"/>
                  </w:rPr>
                  <w:t>INDUSTRIES LIMITED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72481"/>
    <w:multiLevelType w:val="hybridMultilevel"/>
    <w:tmpl w:val="60F4F13E"/>
    <w:lvl w:ilvl="0" w:tplc="6FFE075C">
      <w:start w:val="1"/>
      <w:numFmt w:val="decimal"/>
      <w:lvlText w:val="%1."/>
      <w:lvlJc w:val="left"/>
      <w:pPr>
        <w:ind w:left="467" w:hanging="360"/>
        <w:jc w:val="left"/>
      </w:pPr>
      <w:rPr>
        <w:rFonts w:ascii="Times New Roman" w:eastAsia="Times New Roman" w:hAnsi="Times New Roman" w:cs="Times New Roman" w:hint="default"/>
        <w:spacing w:val="-2"/>
        <w:w w:val="99"/>
        <w:sz w:val="24"/>
        <w:szCs w:val="24"/>
      </w:rPr>
    </w:lvl>
    <w:lvl w:ilvl="1" w:tplc="A7D2B0F8">
      <w:numFmt w:val="bullet"/>
      <w:lvlText w:val="•"/>
      <w:lvlJc w:val="left"/>
      <w:pPr>
        <w:ind w:left="1444" w:hanging="360"/>
      </w:pPr>
      <w:rPr>
        <w:rFonts w:hint="default"/>
      </w:rPr>
    </w:lvl>
    <w:lvl w:ilvl="2" w:tplc="C5F84234">
      <w:numFmt w:val="bullet"/>
      <w:lvlText w:val="•"/>
      <w:lvlJc w:val="left"/>
      <w:pPr>
        <w:ind w:left="2428" w:hanging="360"/>
      </w:pPr>
      <w:rPr>
        <w:rFonts w:hint="default"/>
      </w:rPr>
    </w:lvl>
    <w:lvl w:ilvl="3" w:tplc="241E1CCA">
      <w:numFmt w:val="bullet"/>
      <w:lvlText w:val="•"/>
      <w:lvlJc w:val="left"/>
      <w:pPr>
        <w:ind w:left="3412" w:hanging="360"/>
      </w:pPr>
      <w:rPr>
        <w:rFonts w:hint="default"/>
      </w:rPr>
    </w:lvl>
    <w:lvl w:ilvl="4" w:tplc="F1668AC2">
      <w:numFmt w:val="bullet"/>
      <w:lvlText w:val="•"/>
      <w:lvlJc w:val="left"/>
      <w:pPr>
        <w:ind w:left="4396" w:hanging="360"/>
      </w:pPr>
      <w:rPr>
        <w:rFonts w:hint="default"/>
      </w:rPr>
    </w:lvl>
    <w:lvl w:ilvl="5" w:tplc="A3F8FC4C">
      <w:numFmt w:val="bullet"/>
      <w:lvlText w:val="•"/>
      <w:lvlJc w:val="left"/>
      <w:pPr>
        <w:ind w:left="5380" w:hanging="360"/>
      </w:pPr>
      <w:rPr>
        <w:rFonts w:hint="default"/>
      </w:rPr>
    </w:lvl>
    <w:lvl w:ilvl="6" w:tplc="932C7BAA">
      <w:numFmt w:val="bullet"/>
      <w:lvlText w:val="•"/>
      <w:lvlJc w:val="left"/>
      <w:pPr>
        <w:ind w:left="6364" w:hanging="360"/>
      </w:pPr>
      <w:rPr>
        <w:rFonts w:hint="default"/>
      </w:rPr>
    </w:lvl>
    <w:lvl w:ilvl="7" w:tplc="B3A0AF3A">
      <w:numFmt w:val="bullet"/>
      <w:lvlText w:val="•"/>
      <w:lvlJc w:val="left"/>
      <w:pPr>
        <w:ind w:left="7348" w:hanging="360"/>
      </w:pPr>
      <w:rPr>
        <w:rFonts w:hint="default"/>
      </w:rPr>
    </w:lvl>
    <w:lvl w:ilvl="8" w:tplc="C60E7FC0">
      <w:numFmt w:val="bullet"/>
      <w:lvlText w:val="•"/>
      <w:lvlJc w:val="left"/>
      <w:pPr>
        <w:ind w:left="83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140A"/>
    <w:rsid w:val="000C140A"/>
    <w:rsid w:val="00743565"/>
    <w:rsid w:val="007F1D74"/>
    <w:rsid w:val="008F6128"/>
    <w:rsid w:val="00A3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F46BF"/>
  <w15:docId w15:val="{A554E41F-7A12-4B0E-8AFA-FFA8F7FA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6"/>
      <w:ind w:left="107"/>
      <w:outlineLvl w:val="0"/>
    </w:pPr>
    <w:rPr>
      <w:b/>
      <w:bCs/>
      <w:sz w:val="28"/>
      <w:szCs w:val="28"/>
    </w:rPr>
  </w:style>
  <w:style w:type="paragraph" w:styleId="Heading2">
    <w:name w:val="heading 2"/>
    <w:basedOn w:val="Normal"/>
    <w:uiPriority w:val="9"/>
    <w:unhideWhenUsed/>
    <w:qFormat/>
    <w:pPr>
      <w:spacing w:before="90"/>
      <w:ind w:left="10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46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xiomind.com/" TargetMode="External"/><Relationship Id="rId1" Type="http://schemas.openxmlformats.org/officeDocument/2006/relationships/hyperlink" Target="mailto:sales@axiom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Axiom RGA Request Form</dc:title>
  <dc:creator>hanlink</dc:creator>
  <cp:lastModifiedBy>Evan Levesque</cp:lastModifiedBy>
  <cp:revision>2</cp:revision>
  <dcterms:created xsi:type="dcterms:W3CDTF">2020-11-03T15:23:00Z</dcterms:created>
  <dcterms:modified xsi:type="dcterms:W3CDTF">2020-11-03T15:23:00Z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2020-07-01T00:00:00Z</vt:filetime>
  </property>
</Properties>
</file>